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C05CC" w14:textId="77777777" w:rsidR="009C5072" w:rsidRPr="00DF6E5A" w:rsidRDefault="009C5072" w:rsidP="009C5072">
      <w:pPr>
        <w:ind w:left="997"/>
        <w:jc w:val="center"/>
        <w:rPr>
          <w:rFonts w:ascii="Times" w:hAnsi="Times"/>
        </w:rPr>
      </w:pPr>
      <w:r w:rsidRPr="00DF6E5A">
        <w:rPr>
          <w:rFonts w:ascii="Times" w:hAnsi="Times"/>
          <w:b/>
          <w:bCs/>
        </w:rPr>
        <w:t>Task 6:</w:t>
      </w:r>
      <w:r>
        <w:rPr>
          <w:rFonts w:ascii="Times" w:hAnsi="Times"/>
          <w:b/>
          <w:bCs/>
        </w:rPr>
        <w:t xml:space="preserve"> </w:t>
      </w:r>
      <w:r w:rsidRPr="00DF6E5A">
        <w:rPr>
          <w:rFonts w:ascii="Times" w:eastAsia="Calibri" w:hAnsi="Times" w:cs="Calibri"/>
          <w:b/>
        </w:rPr>
        <w:t xml:space="preserve">The Case of Slip or Trip </w:t>
      </w:r>
    </w:p>
    <w:p w14:paraId="1347292C" w14:textId="77777777" w:rsidR="009C5072" w:rsidRPr="00DF6E5A" w:rsidRDefault="009C5072" w:rsidP="009C5072">
      <w:pPr>
        <w:ind w:left="1045"/>
        <w:jc w:val="center"/>
        <w:rPr>
          <w:rFonts w:ascii="Times" w:hAnsi="Times"/>
        </w:rPr>
      </w:pPr>
      <w:r w:rsidRPr="00DF6E5A">
        <w:rPr>
          <w:rFonts w:ascii="Times" w:eastAsia="Calibri" w:hAnsi="Times" w:cs="Calibri"/>
          <w:sz w:val="22"/>
        </w:rPr>
        <w:t xml:space="preserve"> </w:t>
      </w:r>
    </w:p>
    <w:tbl>
      <w:tblPr>
        <w:tblStyle w:val="TableGrid"/>
        <w:tblW w:w="9347" w:type="dxa"/>
        <w:tblInd w:w="28" w:type="dxa"/>
        <w:tblCellMar>
          <w:top w:w="85" w:type="dxa"/>
          <w:left w:w="104" w:type="dxa"/>
          <w:right w:w="115" w:type="dxa"/>
        </w:tblCellMar>
        <w:tblLook w:val="04A0" w:firstRow="1" w:lastRow="0" w:firstColumn="1" w:lastColumn="0" w:noHBand="0" w:noVBand="1"/>
      </w:tblPr>
      <w:tblGrid>
        <w:gridCol w:w="3113"/>
        <w:gridCol w:w="3117"/>
        <w:gridCol w:w="3117"/>
      </w:tblGrid>
      <w:tr w:rsidR="009C5072" w:rsidRPr="00DF6E5A" w14:paraId="1104BCAC" w14:textId="77777777" w:rsidTr="00234F61">
        <w:trPr>
          <w:trHeight w:val="339"/>
        </w:trPr>
        <w:tc>
          <w:tcPr>
            <w:tcW w:w="3113" w:type="dxa"/>
            <w:tcBorders>
              <w:top w:val="single" w:sz="4" w:space="0" w:color="000000"/>
              <w:left w:val="single" w:sz="4" w:space="0" w:color="000000"/>
              <w:bottom w:val="single" w:sz="4" w:space="0" w:color="000000"/>
              <w:right w:val="single" w:sz="4" w:space="0" w:color="000000"/>
            </w:tcBorders>
            <w:shd w:val="clear" w:color="auto" w:fill="BFBFBF"/>
          </w:tcPr>
          <w:p w14:paraId="2C032A18" w14:textId="77777777" w:rsidR="009C5072" w:rsidRPr="00DF6E5A" w:rsidRDefault="009C5072" w:rsidP="002437B9">
            <w:pPr>
              <w:ind w:right="3"/>
              <w:jc w:val="center"/>
              <w:rPr>
                <w:rFonts w:ascii="Times" w:hAnsi="Times"/>
              </w:rPr>
            </w:pPr>
            <w:r w:rsidRPr="00DF6E5A">
              <w:rPr>
                <w:rFonts w:ascii="Times" w:eastAsia="Calibri" w:hAnsi="Times" w:cs="Calibri"/>
                <w:b/>
              </w:rPr>
              <w:t xml:space="preserve">Evidence (Data/Grounds) </w:t>
            </w:r>
            <w:r w:rsidRPr="00DF6E5A">
              <w:rPr>
                <w:rFonts w:ascii="Times" w:eastAsia="Calibri" w:hAnsi="Times" w:cs="Calibri"/>
                <w:sz w:val="22"/>
              </w:rP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BFBFBF"/>
          </w:tcPr>
          <w:p w14:paraId="10729B89" w14:textId="77777777" w:rsidR="009C5072" w:rsidRPr="00DF6E5A" w:rsidRDefault="009C5072" w:rsidP="002437B9">
            <w:pPr>
              <w:ind w:left="9"/>
              <w:jc w:val="center"/>
              <w:rPr>
                <w:rFonts w:ascii="Times" w:hAnsi="Times"/>
              </w:rPr>
            </w:pPr>
            <w:r w:rsidRPr="00DF6E5A">
              <w:rPr>
                <w:rFonts w:ascii="Times" w:eastAsia="Calibri" w:hAnsi="Times" w:cs="Calibri"/>
                <w:b/>
              </w:rPr>
              <w:t xml:space="preserve">General Rule (Warrants) </w:t>
            </w:r>
            <w:r w:rsidRPr="00DF6E5A">
              <w:rPr>
                <w:rFonts w:ascii="Times" w:eastAsia="Calibri" w:hAnsi="Times" w:cs="Calibri"/>
                <w:sz w:val="22"/>
              </w:rP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BFBFBF"/>
          </w:tcPr>
          <w:p w14:paraId="17C58ED2" w14:textId="77777777" w:rsidR="009C5072" w:rsidRPr="00DF6E5A" w:rsidRDefault="009C5072" w:rsidP="002437B9">
            <w:pPr>
              <w:ind w:left="11"/>
              <w:jc w:val="center"/>
              <w:rPr>
                <w:rFonts w:ascii="Times" w:hAnsi="Times"/>
              </w:rPr>
            </w:pPr>
            <w:r w:rsidRPr="00DF6E5A">
              <w:rPr>
                <w:rFonts w:ascii="Times" w:eastAsia="Calibri" w:hAnsi="Times" w:cs="Calibri"/>
                <w:b/>
              </w:rPr>
              <w:t xml:space="preserve">Conclusion (Claim) </w:t>
            </w:r>
            <w:r w:rsidRPr="00DF6E5A">
              <w:rPr>
                <w:rFonts w:ascii="Times" w:eastAsia="Calibri" w:hAnsi="Times" w:cs="Calibri"/>
                <w:sz w:val="22"/>
              </w:rPr>
              <w:t xml:space="preserve"> </w:t>
            </w:r>
          </w:p>
        </w:tc>
      </w:tr>
      <w:tr w:rsidR="009C5072" w:rsidRPr="00DF6E5A" w14:paraId="26F6067F" w14:textId="77777777" w:rsidTr="002437B9">
        <w:trPr>
          <w:trHeight w:val="659"/>
        </w:trPr>
        <w:tc>
          <w:tcPr>
            <w:tcW w:w="3113" w:type="dxa"/>
            <w:tcBorders>
              <w:top w:val="single" w:sz="4" w:space="0" w:color="000000"/>
              <w:left w:val="single" w:sz="4" w:space="0" w:color="000000"/>
              <w:bottom w:val="single" w:sz="4" w:space="0" w:color="000000"/>
              <w:right w:val="single" w:sz="4" w:space="0" w:color="000000"/>
            </w:tcBorders>
          </w:tcPr>
          <w:p w14:paraId="7DC6D6AA" w14:textId="4F7F2F16" w:rsidR="009C5072" w:rsidRPr="00DF6E5A" w:rsidRDefault="007C1618" w:rsidP="002437B9">
            <w:pPr>
              <w:rPr>
                <w:rFonts w:ascii="Times" w:hAnsi="Times"/>
              </w:rPr>
            </w:pPr>
            <w:r w:rsidRPr="007C1618">
              <w:rPr>
                <w:rFonts w:ascii="Times" w:hAnsi="Times"/>
              </w:rPr>
              <w:t>Because Queenie did not call any of her friends or police to report the incident.</w:t>
            </w:r>
          </w:p>
        </w:tc>
        <w:tc>
          <w:tcPr>
            <w:tcW w:w="3117" w:type="dxa"/>
            <w:tcBorders>
              <w:top w:val="single" w:sz="4" w:space="0" w:color="000000"/>
              <w:left w:val="single" w:sz="4" w:space="0" w:color="000000"/>
              <w:bottom w:val="single" w:sz="4" w:space="0" w:color="000000"/>
              <w:right w:val="single" w:sz="4" w:space="0" w:color="000000"/>
            </w:tcBorders>
          </w:tcPr>
          <w:p w14:paraId="50264333" w14:textId="6CF5202C" w:rsidR="009C5072" w:rsidRPr="00DF6E5A" w:rsidRDefault="007C1618" w:rsidP="002437B9">
            <w:pPr>
              <w:ind w:left="165"/>
              <w:rPr>
                <w:rFonts w:ascii="Times" w:hAnsi="Times"/>
              </w:rPr>
            </w:pPr>
            <w:r w:rsidRPr="007C1618">
              <w:rPr>
                <w:rFonts w:ascii="Times" w:hAnsi="Times"/>
              </w:rPr>
              <w:t>As a rule, when an individual gets injured or falls, one should try to help by asking for assistance immediately. Only when people are involved in a crime, they get afraid of reporting.</w:t>
            </w:r>
          </w:p>
        </w:tc>
        <w:tc>
          <w:tcPr>
            <w:tcW w:w="3117" w:type="dxa"/>
            <w:tcBorders>
              <w:top w:val="single" w:sz="4" w:space="0" w:color="000000"/>
              <w:left w:val="single" w:sz="4" w:space="0" w:color="000000"/>
              <w:bottom w:val="single" w:sz="4" w:space="0" w:color="000000"/>
              <w:right w:val="single" w:sz="4" w:space="0" w:color="000000"/>
            </w:tcBorders>
          </w:tcPr>
          <w:p w14:paraId="66ECD6B7" w14:textId="56D3E8F0" w:rsidR="009C5072" w:rsidRPr="00DF6E5A" w:rsidRDefault="007C1618" w:rsidP="002437B9">
            <w:pPr>
              <w:ind w:left="172"/>
              <w:rPr>
                <w:rFonts w:ascii="Times" w:hAnsi="Times"/>
              </w:rPr>
            </w:pPr>
            <w:r w:rsidRPr="007C1618">
              <w:rPr>
                <w:rFonts w:ascii="Times" w:hAnsi="Times"/>
              </w:rPr>
              <w:t>Therefore, Queenie’s claim is not valid and she is the one who contributed to her husband’s death.</w:t>
            </w:r>
          </w:p>
        </w:tc>
      </w:tr>
      <w:tr w:rsidR="009C5072" w:rsidRPr="00DF6E5A" w14:paraId="0F9BC135" w14:textId="77777777" w:rsidTr="002437B9">
        <w:trPr>
          <w:trHeight w:val="660"/>
        </w:trPr>
        <w:tc>
          <w:tcPr>
            <w:tcW w:w="3113" w:type="dxa"/>
            <w:tcBorders>
              <w:top w:val="single" w:sz="4" w:space="0" w:color="000000"/>
              <w:left w:val="single" w:sz="4" w:space="0" w:color="000000"/>
              <w:bottom w:val="single" w:sz="4" w:space="0" w:color="000000"/>
              <w:right w:val="single" w:sz="4" w:space="0" w:color="000000"/>
            </w:tcBorders>
          </w:tcPr>
          <w:p w14:paraId="5F567A16" w14:textId="42EBF8FB" w:rsidR="009C5072" w:rsidRPr="007C1618" w:rsidRDefault="007C1618" w:rsidP="007C1618">
            <w:pPr>
              <w:rPr>
                <w:rFonts w:ascii="Times" w:hAnsi="Times"/>
                <w:bCs/>
              </w:rPr>
            </w:pPr>
            <w:r w:rsidRPr="007C1618">
              <w:rPr>
                <w:rFonts w:ascii="Times" w:eastAsia="Calibri" w:hAnsi="Times" w:cs="Calibri"/>
                <w:bCs/>
              </w:rPr>
              <w:t xml:space="preserve">Because the glass looks intact and still on the victim’s hands. </w:t>
            </w:r>
            <w:r w:rsidR="009C5072" w:rsidRPr="007C1618">
              <w:rPr>
                <w:rFonts w:ascii="Times" w:eastAsia="Calibri" w:hAnsi="Times" w:cs="Calibri"/>
                <w:bCs/>
              </w:rPr>
              <w:t xml:space="preserve"> </w:t>
            </w:r>
            <w:r w:rsidR="009C5072" w:rsidRPr="007C1618">
              <w:rPr>
                <w:rFonts w:ascii="Times" w:eastAsia="Calibri" w:hAnsi="Times" w:cs="Calibri"/>
                <w:bCs/>
                <w:sz w:val="22"/>
              </w:rPr>
              <w:t xml:space="preserve"> </w:t>
            </w:r>
          </w:p>
        </w:tc>
        <w:tc>
          <w:tcPr>
            <w:tcW w:w="3117" w:type="dxa"/>
            <w:tcBorders>
              <w:top w:val="single" w:sz="4" w:space="0" w:color="000000"/>
              <w:left w:val="single" w:sz="4" w:space="0" w:color="000000"/>
              <w:bottom w:val="single" w:sz="4" w:space="0" w:color="000000"/>
              <w:right w:val="single" w:sz="4" w:space="0" w:color="000000"/>
            </w:tcBorders>
          </w:tcPr>
          <w:p w14:paraId="13967716" w14:textId="2EAF4501" w:rsidR="009C5072" w:rsidRPr="00DF6E5A" w:rsidRDefault="007C1618" w:rsidP="002437B9">
            <w:pPr>
              <w:ind w:left="165"/>
              <w:rPr>
                <w:rFonts w:ascii="Times" w:hAnsi="Times"/>
              </w:rPr>
            </w:pPr>
            <w:r>
              <w:t>As a rule, when one is falling, the hands let go of whatever they are holding and reach the ground first when trying to grab something. If Arthur had the glass in his hand when he was slipping down the stairs, it should have fallen far away from him and broken into pieces</w:t>
            </w:r>
            <w:r>
              <w:rPr>
                <w:rStyle w:val="Strong"/>
                <w:color w:val="0E101A"/>
              </w:rPr>
              <w:t>. </w:t>
            </w:r>
            <w:r>
              <w:t> </w:t>
            </w:r>
          </w:p>
        </w:tc>
        <w:tc>
          <w:tcPr>
            <w:tcW w:w="3117" w:type="dxa"/>
            <w:tcBorders>
              <w:top w:val="single" w:sz="4" w:space="0" w:color="000000"/>
              <w:left w:val="single" w:sz="4" w:space="0" w:color="000000"/>
              <w:bottom w:val="single" w:sz="4" w:space="0" w:color="000000"/>
              <w:right w:val="single" w:sz="4" w:space="0" w:color="000000"/>
            </w:tcBorders>
          </w:tcPr>
          <w:p w14:paraId="0E633959" w14:textId="668C6CF3" w:rsidR="009C5072" w:rsidRPr="00DF6E5A" w:rsidRDefault="007C1618" w:rsidP="002437B9">
            <w:pPr>
              <w:ind w:left="172"/>
              <w:rPr>
                <w:rFonts w:ascii="Times" w:hAnsi="Times"/>
              </w:rPr>
            </w:pPr>
            <w:r>
              <w:t>Therefore, the glass was placed into Arthur’s hands when he was already dead. </w:t>
            </w:r>
            <w:r>
              <w:rPr>
                <w:rStyle w:val="Strong"/>
                <w:color w:val="0E101A"/>
              </w:rPr>
              <w:t> </w:t>
            </w:r>
            <w:r>
              <w:t> </w:t>
            </w:r>
          </w:p>
        </w:tc>
      </w:tr>
      <w:tr w:rsidR="009C5072" w:rsidRPr="00DF6E5A" w14:paraId="7D25FBA5" w14:textId="77777777" w:rsidTr="002437B9">
        <w:trPr>
          <w:trHeight w:val="655"/>
        </w:trPr>
        <w:tc>
          <w:tcPr>
            <w:tcW w:w="3113" w:type="dxa"/>
            <w:tcBorders>
              <w:top w:val="single" w:sz="4" w:space="0" w:color="000000"/>
              <w:left w:val="single" w:sz="4" w:space="0" w:color="000000"/>
              <w:bottom w:val="single" w:sz="4" w:space="0" w:color="000000"/>
              <w:right w:val="single" w:sz="4" w:space="0" w:color="000000"/>
            </w:tcBorders>
          </w:tcPr>
          <w:p w14:paraId="433A6CE7" w14:textId="6CE713ED" w:rsidR="009C5072" w:rsidRPr="007C1618" w:rsidRDefault="007C1618" w:rsidP="007C1618">
            <w:pPr>
              <w:rPr>
                <w:rFonts w:ascii="Times" w:hAnsi="Times"/>
                <w:bCs/>
              </w:rPr>
            </w:pPr>
            <w:r w:rsidRPr="007C1618">
              <w:rPr>
                <w:rFonts w:ascii="Times" w:eastAsia="Calibri" w:hAnsi="Times" w:cs="Calibri"/>
                <w:bCs/>
              </w:rPr>
              <w:t xml:space="preserve">Because the autopsy showed that Arthur had a broken head only, indicating that he did not die of falling from the stairs.   </w:t>
            </w:r>
            <w:r w:rsidR="009C5072" w:rsidRPr="007C1618">
              <w:rPr>
                <w:rFonts w:ascii="Times" w:eastAsia="Calibri" w:hAnsi="Times" w:cs="Calibri"/>
                <w:bCs/>
              </w:rPr>
              <w:t xml:space="preserve"> </w:t>
            </w:r>
            <w:r w:rsidR="009C5072" w:rsidRPr="007C1618">
              <w:rPr>
                <w:rFonts w:ascii="Times" w:eastAsia="Calibri" w:hAnsi="Times" w:cs="Calibri"/>
                <w:bCs/>
                <w:sz w:val="22"/>
              </w:rPr>
              <w:t xml:space="preserve"> </w:t>
            </w:r>
          </w:p>
        </w:tc>
        <w:tc>
          <w:tcPr>
            <w:tcW w:w="3117" w:type="dxa"/>
            <w:tcBorders>
              <w:top w:val="single" w:sz="4" w:space="0" w:color="000000"/>
              <w:left w:val="single" w:sz="4" w:space="0" w:color="000000"/>
              <w:bottom w:val="single" w:sz="4" w:space="0" w:color="000000"/>
              <w:right w:val="single" w:sz="4" w:space="0" w:color="000000"/>
            </w:tcBorders>
          </w:tcPr>
          <w:p w14:paraId="3370B422" w14:textId="78C07CBF" w:rsidR="009C5072" w:rsidRPr="00DF6E5A" w:rsidRDefault="007C1618" w:rsidP="00370839">
            <w:pPr>
              <w:ind w:left="165"/>
              <w:rPr>
                <w:rFonts w:ascii="Times" w:hAnsi="Times"/>
              </w:rPr>
            </w:pPr>
            <w:r>
              <w:t>Commonly, when slipping on stairs, multiple areas are injured, including hands, shoulders and knees.</w:t>
            </w:r>
            <w:r>
              <w:rPr>
                <w:rStyle w:val="Strong"/>
                <w:color w:val="0E101A"/>
              </w:rPr>
              <w:t> </w:t>
            </w:r>
            <w:r>
              <w:t> </w:t>
            </w:r>
          </w:p>
        </w:tc>
        <w:tc>
          <w:tcPr>
            <w:tcW w:w="3117" w:type="dxa"/>
            <w:tcBorders>
              <w:top w:val="single" w:sz="4" w:space="0" w:color="000000"/>
              <w:left w:val="single" w:sz="4" w:space="0" w:color="000000"/>
              <w:bottom w:val="single" w:sz="4" w:space="0" w:color="000000"/>
              <w:right w:val="single" w:sz="4" w:space="0" w:color="000000"/>
            </w:tcBorders>
          </w:tcPr>
          <w:p w14:paraId="05BB4A81" w14:textId="1D661F2B" w:rsidR="009C5072" w:rsidRPr="00DF6E5A" w:rsidRDefault="00315C7B" w:rsidP="002437B9">
            <w:pPr>
              <w:ind w:left="172"/>
              <w:rPr>
                <w:rFonts w:ascii="Times" w:hAnsi="Times"/>
              </w:rPr>
            </w:pPr>
            <w:r>
              <w:t>Therefore, Arthur was hit on his head with a hard object. </w:t>
            </w:r>
            <w:r>
              <w:rPr>
                <w:rStyle w:val="Strong"/>
                <w:color w:val="0E101A"/>
              </w:rPr>
              <w:t> </w:t>
            </w:r>
            <w:r>
              <w:t> </w:t>
            </w:r>
          </w:p>
        </w:tc>
      </w:tr>
      <w:tr w:rsidR="009C5072" w:rsidRPr="00DF6E5A" w14:paraId="47427B23" w14:textId="77777777" w:rsidTr="002437B9">
        <w:trPr>
          <w:trHeight w:val="661"/>
        </w:trPr>
        <w:tc>
          <w:tcPr>
            <w:tcW w:w="3113" w:type="dxa"/>
            <w:tcBorders>
              <w:top w:val="single" w:sz="4" w:space="0" w:color="000000"/>
              <w:left w:val="single" w:sz="4" w:space="0" w:color="000000"/>
              <w:bottom w:val="single" w:sz="4" w:space="0" w:color="000000"/>
              <w:right w:val="single" w:sz="4" w:space="0" w:color="000000"/>
            </w:tcBorders>
          </w:tcPr>
          <w:p w14:paraId="220E5301" w14:textId="3DD81D8B" w:rsidR="009C5072" w:rsidRPr="00315C7B" w:rsidRDefault="00315C7B" w:rsidP="002437B9">
            <w:pPr>
              <w:rPr>
                <w:rFonts w:ascii="Times" w:hAnsi="Times"/>
                <w:bCs/>
              </w:rPr>
            </w:pPr>
            <w:r w:rsidRPr="00315C7B">
              <w:rPr>
                <w:rFonts w:ascii="Times" w:eastAsia="Calibri" w:hAnsi="Times" w:cs="Calibri"/>
                <w:bCs/>
              </w:rPr>
              <w:t>Because the couple had an argument and Queenie was drunk from the party.</w:t>
            </w:r>
            <w:r w:rsidR="009C5072" w:rsidRPr="00315C7B">
              <w:rPr>
                <w:rFonts w:ascii="Times" w:eastAsia="Calibri" w:hAnsi="Times" w:cs="Calibri"/>
                <w:bCs/>
              </w:rPr>
              <w:t xml:space="preserve"> </w:t>
            </w:r>
            <w:r w:rsidR="009C5072" w:rsidRPr="00315C7B">
              <w:rPr>
                <w:rFonts w:ascii="Times" w:eastAsia="Calibri" w:hAnsi="Times" w:cs="Calibri"/>
                <w:bCs/>
                <w:sz w:val="22"/>
              </w:rPr>
              <w:t xml:space="preserve"> </w:t>
            </w:r>
          </w:p>
        </w:tc>
        <w:tc>
          <w:tcPr>
            <w:tcW w:w="3117" w:type="dxa"/>
            <w:tcBorders>
              <w:top w:val="single" w:sz="4" w:space="0" w:color="000000"/>
              <w:left w:val="single" w:sz="4" w:space="0" w:color="000000"/>
              <w:bottom w:val="single" w:sz="4" w:space="0" w:color="000000"/>
              <w:right w:val="single" w:sz="4" w:space="0" w:color="000000"/>
            </w:tcBorders>
          </w:tcPr>
          <w:p w14:paraId="1A930603" w14:textId="5DB14D3E" w:rsidR="009C5072" w:rsidRPr="000D0225" w:rsidRDefault="00315C7B" w:rsidP="00DA3F37">
            <w:pPr>
              <w:ind w:left="165"/>
              <w:rPr>
                <w:rFonts w:ascii="Times" w:hAnsi="Times"/>
                <w:bCs/>
              </w:rPr>
            </w:pPr>
            <w:r w:rsidRPr="00315C7B">
              <w:rPr>
                <w:rFonts w:ascii="Times" w:hAnsi="Times"/>
                <w:bCs/>
              </w:rPr>
              <w:t>Generally, arguments lead to anger and alcohol impairs people’s judgments. When people get too drunk, they become defenseless.</w:t>
            </w:r>
          </w:p>
        </w:tc>
        <w:tc>
          <w:tcPr>
            <w:tcW w:w="3117" w:type="dxa"/>
            <w:tcBorders>
              <w:top w:val="single" w:sz="4" w:space="0" w:color="000000"/>
              <w:left w:val="single" w:sz="4" w:space="0" w:color="000000"/>
              <w:bottom w:val="single" w:sz="4" w:space="0" w:color="000000"/>
              <w:right w:val="single" w:sz="4" w:space="0" w:color="000000"/>
            </w:tcBorders>
          </w:tcPr>
          <w:p w14:paraId="155A60DB" w14:textId="1EB9367B" w:rsidR="009C5072" w:rsidRPr="00DF6E5A" w:rsidRDefault="00315C7B" w:rsidP="000D0225">
            <w:pPr>
              <w:ind w:left="172"/>
              <w:rPr>
                <w:rFonts w:ascii="Times" w:hAnsi="Times"/>
              </w:rPr>
            </w:pPr>
            <w:r w:rsidRPr="00315C7B">
              <w:rPr>
                <w:rFonts w:ascii="Times" w:hAnsi="Times"/>
              </w:rPr>
              <w:t>Therefore, Queenie is likely to have been influenced by alcohol and pushed Arthur down the stairs after an argument.</w:t>
            </w:r>
          </w:p>
        </w:tc>
      </w:tr>
      <w:tr w:rsidR="009C5072" w:rsidRPr="00DF6E5A" w14:paraId="252797FA" w14:textId="77777777" w:rsidTr="002437B9">
        <w:trPr>
          <w:trHeight w:val="660"/>
        </w:trPr>
        <w:tc>
          <w:tcPr>
            <w:tcW w:w="3113" w:type="dxa"/>
            <w:tcBorders>
              <w:top w:val="single" w:sz="4" w:space="0" w:color="000000"/>
              <w:left w:val="single" w:sz="4" w:space="0" w:color="000000"/>
              <w:bottom w:val="single" w:sz="4" w:space="0" w:color="000000"/>
              <w:right w:val="single" w:sz="4" w:space="0" w:color="000000"/>
            </w:tcBorders>
          </w:tcPr>
          <w:p w14:paraId="5C7AD5CA" w14:textId="79CC8801" w:rsidR="009C5072" w:rsidRPr="00F7564A" w:rsidRDefault="00315C7B" w:rsidP="002437B9">
            <w:pPr>
              <w:rPr>
                <w:rFonts w:ascii="Times" w:hAnsi="Times"/>
                <w:bCs/>
              </w:rPr>
            </w:pPr>
            <w:r w:rsidRPr="00315C7B">
              <w:rPr>
                <w:rFonts w:ascii="Times" w:hAnsi="Times"/>
                <w:bCs/>
              </w:rPr>
              <w:t>Because Arthur is lying on the floor with his hands apart after claiming that he slipped on the stairs.</w:t>
            </w:r>
          </w:p>
        </w:tc>
        <w:tc>
          <w:tcPr>
            <w:tcW w:w="3117" w:type="dxa"/>
            <w:tcBorders>
              <w:top w:val="single" w:sz="4" w:space="0" w:color="000000"/>
              <w:left w:val="single" w:sz="4" w:space="0" w:color="000000"/>
              <w:bottom w:val="single" w:sz="4" w:space="0" w:color="000000"/>
              <w:right w:val="single" w:sz="4" w:space="0" w:color="000000"/>
            </w:tcBorders>
          </w:tcPr>
          <w:p w14:paraId="6F688BAF" w14:textId="2BF6F7F5" w:rsidR="009C5072" w:rsidRPr="00230C62" w:rsidRDefault="00315C7B" w:rsidP="00230C62">
            <w:pPr>
              <w:ind w:left="165"/>
              <w:rPr>
                <w:rFonts w:ascii="Times" w:hAnsi="Times"/>
                <w:bCs/>
              </w:rPr>
            </w:pPr>
            <w:r w:rsidRPr="00315C7B">
              <w:rPr>
                <w:rFonts w:ascii="Times" w:hAnsi="Times"/>
                <w:bCs/>
              </w:rPr>
              <w:t xml:space="preserve">As a rule, when individuals get injured, they move or put their hands to where the body is hurt.  </w:t>
            </w:r>
          </w:p>
        </w:tc>
        <w:tc>
          <w:tcPr>
            <w:tcW w:w="3117" w:type="dxa"/>
            <w:tcBorders>
              <w:top w:val="single" w:sz="4" w:space="0" w:color="000000"/>
              <w:left w:val="single" w:sz="4" w:space="0" w:color="000000"/>
              <w:bottom w:val="single" w:sz="4" w:space="0" w:color="000000"/>
              <w:right w:val="single" w:sz="4" w:space="0" w:color="000000"/>
            </w:tcBorders>
          </w:tcPr>
          <w:p w14:paraId="18C3A898" w14:textId="5917B2DE" w:rsidR="009C5072" w:rsidRPr="00DF6E5A" w:rsidRDefault="00315C7B" w:rsidP="00092068">
            <w:pPr>
              <w:ind w:left="172"/>
              <w:rPr>
                <w:rFonts w:ascii="Times" w:hAnsi="Times"/>
              </w:rPr>
            </w:pPr>
            <w:r>
              <w:t>Therefore, the victim was killed and placed on the stairs. </w:t>
            </w:r>
            <w:r>
              <w:rPr>
                <w:rStyle w:val="Strong"/>
                <w:color w:val="0E101A"/>
              </w:rPr>
              <w:t> </w:t>
            </w:r>
          </w:p>
        </w:tc>
      </w:tr>
    </w:tbl>
    <w:p w14:paraId="73D7563C" w14:textId="6A20AD35" w:rsidR="00C31A0F" w:rsidRPr="009C5072" w:rsidRDefault="009C5072" w:rsidP="009C5072">
      <w:pPr>
        <w:spacing w:after="201"/>
        <w:rPr>
          <w:rFonts w:ascii="Times" w:hAnsi="Times"/>
        </w:rPr>
      </w:pPr>
      <w:r w:rsidRPr="00DF6E5A">
        <w:rPr>
          <w:rFonts w:ascii="Times" w:eastAsia="Calibri" w:hAnsi="Times" w:cs="Calibri"/>
          <w:b/>
          <w:sz w:val="18"/>
        </w:rPr>
        <w:t xml:space="preserve"> </w:t>
      </w:r>
      <w:r w:rsidRPr="00DF6E5A">
        <w:rPr>
          <w:rFonts w:ascii="Times" w:eastAsia="Calibri" w:hAnsi="Times" w:cs="Calibri"/>
          <w:sz w:val="22"/>
        </w:rPr>
        <w:t xml:space="preserve"> </w:t>
      </w:r>
    </w:p>
    <w:sectPr w:rsidR="00C31A0F" w:rsidRPr="009C50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뺭땗뫝틀Շ恀"/>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72"/>
    <w:rsid w:val="00092068"/>
    <w:rsid w:val="000D0225"/>
    <w:rsid w:val="00230C62"/>
    <w:rsid w:val="00234F61"/>
    <w:rsid w:val="00315C7B"/>
    <w:rsid w:val="00370839"/>
    <w:rsid w:val="00673327"/>
    <w:rsid w:val="007C1618"/>
    <w:rsid w:val="00935C57"/>
    <w:rsid w:val="009C5072"/>
    <w:rsid w:val="00C31A0F"/>
    <w:rsid w:val="00CE1878"/>
    <w:rsid w:val="00DA3F37"/>
    <w:rsid w:val="00EA24E5"/>
    <w:rsid w:val="00F606C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BAD9"/>
  <w15:chartTrackingRefBased/>
  <w15:docId w15:val="{8E22C6BF-0A7D-4033-BE5C-1D5A240E9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07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C5072"/>
    <w:pPr>
      <w:spacing w:after="0" w:line="240" w:lineRule="auto"/>
    </w:pPr>
    <w:rPr>
      <w:rFonts w:eastAsiaTheme="minorEastAsia"/>
      <w:sz w:val="24"/>
      <w:szCs w:val="24"/>
      <w:lang w:val="en-US"/>
    </w:rPr>
    <w:tblPr>
      <w:tblCellMar>
        <w:top w:w="0" w:type="dxa"/>
        <w:left w:w="0" w:type="dxa"/>
        <w:bottom w:w="0" w:type="dxa"/>
        <w:right w:w="0" w:type="dxa"/>
      </w:tblCellMar>
    </w:tblPr>
  </w:style>
  <w:style w:type="character" w:styleId="Strong">
    <w:name w:val="Strong"/>
    <w:basedOn w:val="DefaultParagraphFont"/>
    <w:uiPriority w:val="22"/>
    <w:qFormat/>
    <w:rsid w:val="007C16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11</cp:revision>
  <dcterms:created xsi:type="dcterms:W3CDTF">2021-09-12T15:52:00Z</dcterms:created>
  <dcterms:modified xsi:type="dcterms:W3CDTF">2021-09-12T16:48:00Z</dcterms:modified>
</cp:coreProperties>
</file>